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eastAsia="黑体"/>
          <w:szCs w:val="32"/>
        </w:rPr>
      </w:pPr>
      <w:r>
        <w:rPr>
          <w:rFonts w:hAnsi="黑体" w:eastAsia="黑体"/>
          <w:szCs w:val="32"/>
        </w:rPr>
        <w:t>附件</w:t>
      </w:r>
      <w:r>
        <w:rPr>
          <w:rFonts w:eastAsia="黑体"/>
          <w:szCs w:val="32"/>
        </w:rPr>
        <w:t>3</w:t>
      </w:r>
    </w:p>
    <w:p>
      <w:pPr>
        <w:spacing w:line="600" w:lineRule="exact"/>
        <w:rPr>
          <w:rFonts w:eastAsia="黑体"/>
          <w:szCs w:val="32"/>
        </w:rPr>
      </w:pPr>
    </w:p>
    <w:p>
      <w:pPr>
        <w:widowControl/>
        <w:spacing w:line="600" w:lineRule="exact"/>
        <w:jc w:val="center"/>
        <w:rPr>
          <w:rFonts w:hint="eastAsia" w:ascii="方正小标宋简体" w:eastAsia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kern w:val="0"/>
          <w:sz w:val="44"/>
          <w:szCs w:val="44"/>
        </w:rPr>
        <w:t>宜春市中等职业学校2020—2022年</w:t>
      </w:r>
    </w:p>
    <w:p>
      <w:pPr>
        <w:widowControl/>
        <w:spacing w:line="600" w:lineRule="exact"/>
        <w:jc w:val="center"/>
        <w:rPr>
          <w:rFonts w:hint="eastAsia" w:ascii="方正小标宋简体" w:eastAsia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kern w:val="0"/>
          <w:sz w:val="44"/>
          <w:szCs w:val="44"/>
        </w:rPr>
        <w:t>学位目标数量计划表</w:t>
      </w:r>
    </w:p>
    <w:p>
      <w:pPr>
        <w:widowControl/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widowControl/>
        <w:spacing w:line="600" w:lineRule="exact"/>
        <w:ind w:firstLine="120" w:firstLineChars="50"/>
        <w:jc w:val="right"/>
        <w:rPr>
          <w:rFonts w:hint="eastAsia" w:ascii="仿宋_GB2312"/>
          <w:szCs w:val="32"/>
        </w:rPr>
      </w:pPr>
      <w:r>
        <w:rPr>
          <w:rFonts w:hint="eastAsia" w:ascii="仿宋_GB2312"/>
          <w:color w:val="000000"/>
          <w:kern w:val="0"/>
          <w:sz w:val="24"/>
          <w:szCs w:val="36"/>
        </w:rPr>
        <w:t>单位：人</w:t>
      </w:r>
    </w:p>
    <w:tbl>
      <w:tblPr>
        <w:tblStyle w:val="2"/>
        <w:tblW w:w="889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7"/>
        <w:gridCol w:w="2047"/>
        <w:gridCol w:w="2047"/>
        <w:gridCol w:w="23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2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Ansi="黑体" w:eastAsia="黑体"/>
                <w:color w:val="000000"/>
                <w:kern w:val="0"/>
                <w:sz w:val="24"/>
                <w:szCs w:val="24"/>
              </w:rPr>
              <w:t>县市区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Ansi="黑体" w:eastAsia="黑体"/>
                <w:color w:val="000000"/>
                <w:kern w:val="0"/>
                <w:sz w:val="24"/>
                <w:szCs w:val="24"/>
              </w:rPr>
              <w:t>中职学校</w:t>
            </w: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>2020</w:t>
            </w:r>
            <w:r>
              <w:rPr>
                <w:rFonts w:hAnsi="黑体" w:eastAsia="黑体"/>
                <w:color w:val="000000"/>
                <w:kern w:val="0"/>
                <w:sz w:val="24"/>
                <w:szCs w:val="24"/>
              </w:rPr>
              <w:t>年应有在校生数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Ansi="黑体" w:eastAsia="黑体"/>
                <w:color w:val="000000"/>
                <w:kern w:val="0"/>
                <w:sz w:val="24"/>
                <w:szCs w:val="24"/>
              </w:rPr>
              <w:t>中职学校</w:t>
            </w: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>2021</w:t>
            </w:r>
            <w:r>
              <w:rPr>
                <w:rFonts w:hAnsi="黑体" w:eastAsia="黑体"/>
                <w:color w:val="000000"/>
                <w:kern w:val="0"/>
                <w:sz w:val="24"/>
                <w:szCs w:val="24"/>
              </w:rPr>
              <w:t>年应有在校生数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hAnsi="黑体" w:eastAsia="黑体"/>
                <w:color w:val="000000"/>
                <w:kern w:val="0"/>
                <w:sz w:val="24"/>
                <w:szCs w:val="24"/>
              </w:rPr>
              <w:t>中职学校</w:t>
            </w: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>2022</w:t>
            </w:r>
            <w:r>
              <w:rPr>
                <w:rFonts w:hAnsi="黑体" w:eastAsia="黑体"/>
                <w:color w:val="000000"/>
                <w:kern w:val="0"/>
                <w:sz w:val="24"/>
                <w:szCs w:val="24"/>
              </w:rPr>
              <w:t>年应有在校生数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2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袁州区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21000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21900</w:t>
            </w:r>
          </w:p>
        </w:tc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22600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244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樟树市</w:t>
            </w:r>
          </w:p>
        </w:tc>
        <w:tc>
          <w:tcPr>
            <w:tcW w:w="204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3300</w:t>
            </w:r>
          </w:p>
        </w:tc>
        <w:tc>
          <w:tcPr>
            <w:tcW w:w="204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5200</w:t>
            </w:r>
          </w:p>
        </w:tc>
        <w:tc>
          <w:tcPr>
            <w:tcW w:w="235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6800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24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丰城市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6700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11200</w:t>
            </w:r>
          </w:p>
        </w:tc>
        <w:tc>
          <w:tcPr>
            <w:tcW w:w="2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15900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24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靖安县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1040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1500</w:t>
            </w:r>
          </w:p>
        </w:tc>
        <w:tc>
          <w:tcPr>
            <w:tcW w:w="2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1800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24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奉新县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4000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4480</w:t>
            </w:r>
          </w:p>
        </w:tc>
        <w:tc>
          <w:tcPr>
            <w:tcW w:w="2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24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高安市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5400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8580</w:t>
            </w:r>
          </w:p>
        </w:tc>
        <w:tc>
          <w:tcPr>
            <w:tcW w:w="2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11400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24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上高县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2200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3870</w:t>
            </w:r>
          </w:p>
        </w:tc>
        <w:tc>
          <w:tcPr>
            <w:tcW w:w="2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24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宜丰县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1800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2850</w:t>
            </w:r>
          </w:p>
        </w:tc>
        <w:tc>
          <w:tcPr>
            <w:tcW w:w="2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3700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24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铜鼓县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1300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1640</w:t>
            </w:r>
          </w:p>
        </w:tc>
        <w:tc>
          <w:tcPr>
            <w:tcW w:w="2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1900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24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万载县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2260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6800</w:t>
            </w:r>
          </w:p>
        </w:tc>
        <w:tc>
          <w:tcPr>
            <w:tcW w:w="2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10400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24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合 计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49000</w:t>
            </w:r>
          </w:p>
        </w:tc>
        <w:tc>
          <w:tcPr>
            <w:tcW w:w="20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68020</w:t>
            </w:r>
          </w:p>
        </w:tc>
        <w:tc>
          <w:tcPr>
            <w:tcW w:w="2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85100</w:t>
            </w:r>
          </w:p>
        </w:tc>
      </w:tr>
    </w:tbl>
    <w:p>
      <w:pPr>
        <w:spacing w:line="380" w:lineRule="exact"/>
        <w:ind w:left="1078" w:hanging="1077" w:hangingChars="449"/>
        <w:rPr>
          <w:sz w:val="24"/>
        </w:rPr>
      </w:pPr>
      <w:r>
        <w:rPr>
          <w:sz w:val="24"/>
        </w:rPr>
        <w:t>说明：1</w:t>
      </w:r>
      <w:r>
        <w:rPr>
          <w:rFonts w:hint="eastAsia"/>
          <w:sz w:val="24"/>
        </w:rPr>
        <w:t>．</w:t>
      </w:r>
      <w:r>
        <w:rPr>
          <w:sz w:val="24"/>
        </w:rPr>
        <w:t>学位数按《中等职业学校设置标准》生均校舍建筑面积指标不少20平方米标准计算。</w:t>
      </w:r>
    </w:p>
    <w:p>
      <w:pPr>
        <w:spacing w:line="380" w:lineRule="exact"/>
        <w:ind w:left="1086" w:leftChars="227" w:hanging="360" w:hangingChars="150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．</w:t>
      </w:r>
      <w:r>
        <w:rPr>
          <w:sz w:val="24"/>
        </w:rPr>
        <w:t>根据教育部、江西省人民政府《关于整省推进职业教育综合改革提质创优的意见》文件要求，到2022年，全省中职学校总容量达到高中阶段学校学位总数的50%以上，招生计划数占高中阶段学校招生计划总数的50%。“十四五”高中毛入学率达到95%目标，测算出全市各县市区中职学校的招生人数和在校生数。中职学校应有学位数按《江西省职业教育改革实施方案》要求县级中等职业教育与普通高中教育学位数原则上按不低于4:6比例配置测算。</w:t>
      </w:r>
    </w:p>
    <w:p>
      <w:pPr>
        <w:spacing w:line="580" w:lineRule="exact"/>
        <w:rPr>
          <w:rFonts w:hint="eastAsia" w:ascii="黑体" w:hAnsi="黑体" w:eastAsia="黑体" w:cs="仿宋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FD2217"/>
    <w:rsid w:val="61FD2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2020-10-27T02:29:00Z</dcterms:created>
  <dc:creator>️</dc:creator>
  <cp:lastModifiedBy>️</cp:lastModifiedBy>
  <dcterms:modified xsi:type="dcterms:W3CDTF">2020-10-27T02:29:15Z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